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UWAGA! PRZED WYPEŁNIENIEM NALEŻY DOKŁADNIE ZAPOZNAĆ SIĘ Z POUCZENIAMI</w:t>
      </w:r>
    </w:p>
    <w:tbl>
      <w:tblPr>
        <w:tblStyle w:val="Tabela-Siatka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1276"/>
        <w:gridCol w:w="4111"/>
      </w:tblGrid>
      <w:tr>
        <w:trPr>
          <w:trHeight w:val="486" w:hRule="atLeast"/>
        </w:trPr>
        <w:tc>
          <w:tcPr>
            <w:tcW w:w="6520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WNIOSEK O WSZCZĘCIE EGZEKUCJI</w:t>
            </w:r>
          </w:p>
        </w:tc>
        <w:tc>
          <w:tcPr>
            <w:tcW w:w="4111" w:type="dxa"/>
            <w:vMerge w:val="restart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Data wpływu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(wypełnia komornik)</w:t>
            </w:r>
          </w:p>
        </w:tc>
      </w:tr>
      <w:tr>
        <w:trPr>
          <w:trHeight w:val="1637" w:hRule="atLeast"/>
        </w:trPr>
        <w:tc>
          <w:tcPr>
            <w:tcW w:w="6520" w:type="dxa"/>
            <w:gridSpan w:val="2"/>
            <w:tcBorders>
              <w:bottom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 o u c z e n i e</w:t>
            </w:r>
          </w:p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Wniosek należy wypełnić czytelnie, dokonują wpisów bez skreśleń  i poprawek.</w:t>
            </w:r>
          </w:p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2.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 Każdą rubrykę niezacieniowaną należy wypełnić albo skreślić. Jeśli po wpisaniu treści w rubryce pozostało wolne miejsce, należy je skreślić w sposób uniemożliwiający dopisywanie.</w:t>
            </w:r>
          </w:p>
        </w:tc>
        <w:tc>
          <w:tcPr>
            <w:tcW w:w="4111" w:type="dxa"/>
            <w:vMerge w:val="continue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973" w:hRule="atLeast"/>
        </w:trPr>
        <w:tc>
          <w:tcPr>
            <w:tcW w:w="10631" w:type="dxa"/>
            <w:gridSpan w:val="3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3.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 Do wniosku należy dołączyć załączniki.</w:t>
            </w:r>
          </w:p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4.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5.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Jeżeli w rubryce występuje tekst oznaczony znakiem *, to należy niepotrzebne skreślić.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83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 Komornik sądowy, do którego jest składany wniosek o wszczęci egzekucji</w:t>
            </w:r>
          </w:p>
        </w:tc>
      </w:tr>
      <w:tr>
        <w:trPr>
          <w:trHeight w:val="642" w:hRule="atLeast"/>
        </w:trPr>
        <w:tc>
          <w:tcPr>
            <w:tcW w:w="5244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ind w:hanging="360" w:left="317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Sąd rejonowy, przy którym działa  komornik</w:t>
            </w:r>
          </w:p>
        </w:tc>
        <w:tc>
          <w:tcPr>
            <w:tcW w:w="538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ind w:hanging="360" w:left="317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Imię i nazwisko komornika oraz adres       kancelarii komorniczej</w:t>
            </w:r>
          </w:p>
        </w:tc>
      </w:tr>
      <w:tr>
        <w:trPr>
          <w:trHeight w:val="1381" w:hRule="atLeast"/>
        </w:trPr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Sąd Rejono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wy w Malborku</w:t>
            </w:r>
          </w:p>
        </w:tc>
        <w:tc>
          <w:tcPr>
            <w:tcW w:w="538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Komornik Sądowy Tadeusz Święcicki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Al. Wojska Polskiego 501/3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82-200 Malborku</w:t>
            </w:r>
          </w:p>
        </w:tc>
      </w:tr>
      <w:tr>
        <w:trPr>
          <w:trHeight w:val="578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 Wierzyciel</w:t>
            </w:r>
          </w:p>
        </w:tc>
      </w:tr>
      <w:tr>
        <w:trPr>
          <w:trHeight w:val="1064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ind w:hanging="425"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Imię i nazwisko lub nazwa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687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ind w:hanging="425"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Miejsce zamieszkania lub siedziby wierzyciela i adres (można dodatkowo podać numer telefonu lub adres poczty elektronicznej)</w:t>
            </w:r>
          </w:p>
        </w:tc>
      </w:tr>
      <w:tr>
        <w:trPr>
          <w:trHeight w:val="1920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Numer PESEL lub NIP wierzyciela będącego osobą fizyczną, a jeżeli wierzyciel nie jest osobą fizyczną, należy wskazać jego numer w Krajowym Rejestrze Sądowym, a w razie jego braku – numer w innym właściwym rejestrze, ewidencji lub NIP, o ile wierzyciel jest obowiązany do jego posiadania.</w:t>
            </w:r>
          </w:p>
        </w:tc>
      </w:tr>
      <w:tr>
        <w:trPr>
          <w:trHeight w:val="1976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wierzyciela do doręczeń, jeżeli jest inny niż wskazany w rubryce 2.2. Jeżeli wierzyciel jest przedsiębiorcą wpisanym do Centralnej Ewidencji i Informacji o Działalności Gospodarczej, należy także wskazać adres do korespondencji wpisany do tej ewidencji.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Numer rachunku lub numeru rachunku, na które należy przekazywać wyegzekwowane środki pieniężne. Można też podać dodatkowe dane potrzebne do przelewu. W razie niewskazania numeru rachunku środki pieniężne będą przekazywane przekazem pocztowym.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742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Przedstawiciel ustawowy wierzyciela. Pełnomocnik wierzyciela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(należy wypełnić gdy wniosek składa przedstawiciel ustawowy lub pełnomocnik wierzyciela)</w:t>
            </w:r>
          </w:p>
        </w:tc>
      </w:tr>
      <w:tr>
        <w:trPr>
          <w:trHeight w:val="2398" w:hRule="atLeast"/>
        </w:trPr>
        <w:tc>
          <w:tcPr>
            <w:tcW w:w="5244" w:type="dxa"/>
            <w:tcBorders/>
          </w:tcPr>
          <w:p>
            <w:pPr>
              <w:pStyle w:val="ListParagraph"/>
              <w:widowControl/>
              <w:numPr>
                <w:ilvl w:val="1"/>
                <w:numId w:val="5"/>
              </w:numPr>
              <w:spacing w:lineRule="auto" w:line="240" w:before="0" w:after="0"/>
              <w:ind w:hanging="459"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Imię i nazwisko lub nazwa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87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vanish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ind w:hanging="425"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do doręczeń, jeżeli jest inny niż wskazany w rubryce 2.2. lub 2.4.  (można dodatkowo podać numer telefonu lub adres poczty elektronicznej)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Dłużnik</w:t>
            </w:r>
          </w:p>
        </w:tc>
      </w:tr>
      <w:tr>
        <w:trPr>
          <w:trHeight w:val="980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vanish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vanish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vanish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ind w:hanging="425"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Imię i nazwisko lub nazwa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107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ind w:hanging="425"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Miejsce zamieszkania lub siedziby dłużnika i adres. Jeżeli dłużnik jest przedsiębiorcą wpisanym do Centralnej Ewidencji i Informacji o Działalności Gospodarczej, należy też podać adres korespondencji wpisany w tej ewidencji. Można też podać numer PESEL lub NIP dłużnika będącego osobą fizyczną, a jeżeli dłużnik nie jest osobą fizyczną – numer dłużnika w Krajowym Rejestrze Sądowym, a w razie jego braku – numer w innym właściwym rejestrze, ewidencji lub NIP, o ile numeru te są znane wierzycielowi.</w:t>
            </w:r>
          </w:p>
        </w:tc>
      </w:tr>
      <w:tr>
        <w:trPr>
          <w:trHeight w:val="563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Dochodzona wierzytelność</w:t>
            </w:r>
          </w:p>
        </w:tc>
      </w:tr>
      <w:tr>
        <w:trPr>
          <w:trHeight w:val="543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ind w:hanging="175" w:left="17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Tytuł wykonawczy</w:t>
            </w:r>
          </w:p>
        </w:tc>
      </w:tr>
      <w:tr>
        <w:trPr>
          <w:trHeight w:val="4378" w:hRule="atLeast"/>
        </w:trPr>
        <w:tc>
          <w:tcPr>
            <w:tcW w:w="5244" w:type="dxa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Oznaczenie tytułu egzekucyjnego.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Należy wskazać rodzaj tytułu (np. wyrok, postanowienie, nakaz zapłaty, ugoda, akt notarialny), organ lub podmiot, który wystawił tytuł, datę jego wydania lub sporządzenia oraz sygnaturę lub numer.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87" w:type="dxa"/>
            <w:gridSpan w:val="2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Informacje dotyczące klauzuli wykonalności.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Należy wskazać sąd, który nadał klauzulę wykonalności, datę postanowienia oraz sygnaturę akt sprawy, jeżeli jest inna niż sygnatura tytułu egzekucyjnego.</w:t>
            </w:r>
          </w:p>
        </w:tc>
      </w:tr>
      <w:tr>
        <w:trPr>
          <w:trHeight w:val="562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Wnoszę o wyegzekwowanie następujących należności pieniężnych:</w:t>
            </w:r>
          </w:p>
        </w:tc>
      </w:tr>
      <w:tr>
        <w:trPr>
          <w:trHeight w:val="967" w:hRule="atLeast"/>
        </w:trPr>
        <w:tc>
          <w:tcPr>
            <w:tcW w:w="10631" w:type="dxa"/>
            <w:gridSpan w:val="3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Należność główna: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986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Odsetki:</w:t>
            </w:r>
          </w:p>
          <w:p>
            <w:pPr>
              <w:pStyle w:val="Normal"/>
              <w:widowControl/>
              <w:spacing w:lineRule="auto" w:line="240" w:before="0" w:after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Rodzaj odsetek (ustawowe, ustawowe za opóźnienie, ustawowe za opóźnienie w transakcjach handlowych, umowne, jak dla zaległości podatkowych*)</w:t>
            </w:r>
          </w:p>
          <w:p>
            <w:pPr>
              <w:pStyle w:val="Normal"/>
              <w:widowControl/>
              <w:spacing w:lineRule="auto" w:line="240" w:before="0" w:after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kwota od której mają być naliczane odsetki:</w:t>
            </w:r>
          </w:p>
          <w:p>
            <w:pPr>
              <w:pStyle w:val="Normal"/>
              <w:widowControl/>
              <w:spacing w:lineRule="auto" w:line="240" w:before="0" w:after="0"/>
              <w:ind w:left="7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 okres od dnia ……………………………. do dnia ………………………………….</w:t>
            </w:r>
          </w:p>
        </w:tc>
      </w:tr>
      <w:tr>
        <w:trPr>
          <w:trHeight w:val="836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Koszty postępowania sądowego:</w:t>
            </w:r>
          </w:p>
        </w:tc>
      </w:tr>
      <w:tr>
        <w:trPr>
          <w:trHeight w:val="849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Koszty postępowania klauzulowego:</w:t>
            </w:r>
          </w:p>
        </w:tc>
      </w:tr>
      <w:tr>
        <w:trPr>
          <w:trHeight w:val="988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Pozostałe należności (wskazać rodzaj i wysokość):</w:t>
            </w:r>
          </w:p>
        </w:tc>
      </w:tr>
      <w:tr>
        <w:trPr>
          <w:trHeight w:val="832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Wnoszę o wyegzekwowanie następujących świadczeń niepieniężnych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(należy wypełnić tylko w przypadku dochodzenia tego rodzaju świadczeń</w:t>
            </w:r>
          </w:p>
        </w:tc>
      </w:tr>
      <w:tr>
        <w:trPr>
          <w:trHeight w:val="2392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Opis świadczenia.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 przypadku egzekucji świadczeń niepieniężnych, należy podać, jakie świadczenie lub świadczenia mają zostać wyegzekwowane zgodnie z treścią tytułu wykonawczego (np. wydanie rzeczy, opróżnienie lokalu).</w:t>
            </w:r>
          </w:p>
        </w:tc>
      </w:tr>
      <w:tr>
        <w:trPr/>
        <w:tc>
          <w:tcPr>
            <w:tcW w:w="10631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Składniki majątkowe dłużnika, z których prowadzona ma być egzekucja świadczeń pieniężnych.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Wypełnić w razie dochodzenia należności pieniężnych. Wskazanie składników majątkowych dłużnika nie jest obowiązkowe. 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okrętów jest jednak dopuszczalne wtedy, gdy wierzyciel zgłosi wniosek o wszczęcie egzekucji z takiego składnika majątkowego. Wierzyciel może zażądać przeprowadzenie egzekucji wyłącznie ze składników majątkowych wymienionych we wniosku.</w:t>
            </w:r>
          </w:p>
        </w:tc>
      </w:tr>
      <w:tr>
        <w:trPr>
          <w:trHeight w:val="2959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Nieruchomość dłużnika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(należy opisać nieruchomość, z której  ma być prowadzona egzekucja, podać jej położenie i adres; można wskazać numer księgi wieczystej oraz sąd prowadzący księgę wieczystą; należy też wskazać, czy dochodzona wierzytelność jest zabezpieczona hipoteką ustanowioną na opisanej nieruchomości):</w:t>
            </w:r>
          </w:p>
        </w:tc>
      </w:tr>
      <w:tr>
        <w:trPr>
          <w:trHeight w:val="3680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Inne składniki majątkowe dłużnika, z których ma być prowadzona egzekucja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(można oznaczyć rodzajowo składniki majątkowe dłużnika, z których ma być prowadzona egzekucji, np. z rachunku bankowego lub z rachunku w spółdzielczej kasie oszczędnościowo-kredytowej lub z wynagrodzenia za pracę; w miarę możliwości należy podać dane umożliwiające identyfikację wskazanych składników majątkowych, np. w razie wskazania ruchomości dłużnika można je wymienić i wskazać miejsce, w którym się znajdują, w razie wynagrodzenia za pracę, podać dane pracodawcy, a w przypadku egzekucji z rachunku bankowego lub z rachunku w spółdzielczej kasie oszczędnościowo-kredytowej – podać nazwę baku lub spółdzielczej kasy oszczędnościowo-kredytowej, w której jest prowadzony rachunek dłużnika):</w:t>
            </w:r>
          </w:p>
        </w:tc>
      </w:tr>
      <w:tr>
        <w:trPr>
          <w:trHeight w:val="843" w:hRule="atLeast"/>
        </w:trPr>
        <w:tc>
          <w:tcPr>
            <w:tcW w:w="10631" w:type="dxa"/>
            <w:gridSpan w:val="3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Żądam przeprowadzenia egzekucji wyłącznie z wyżej wymienionych składników majątkowych:       tak / nie*</w:t>
            </w:r>
          </w:p>
        </w:tc>
      </w:tr>
      <w:tr>
        <w:trPr>
          <w:trHeight w:val="415" w:hRule="atLeast"/>
        </w:trPr>
        <w:tc>
          <w:tcPr>
            <w:tcW w:w="1063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Załączniki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(należy wymienić wszystkie dokumenty dołączone do wniosku)</w:t>
            </w:r>
          </w:p>
        </w:tc>
      </w:tr>
      <w:tr>
        <w:trPr>
          <w:trHeight w:val="2108" w:hRule="atLeast"/>
        </w:trPr>
        <w:tc>
          <w:tcPr>
            <w:tcW w:w="10631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tytuł wykonawczy,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pełnomocnictwo (o ile został ustanowiony pełnomocnik) wraz z dowodem uiszczenia opłaty skarbowej,*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dokument lub dokumenty wykazujące umocowanie do działania w imieniu wierzyciela niebędącego osobą fizyczną,*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oświadczenie o wyborze komornika,*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inne (podać jakie): ……………………………………………………………………………</w:t>
            </w:r>
          </w:p>
        </w:tc>
      </w:tr>
      <w:tr>
        <w:trPr>
          <w:trHeight w:val="699" w:hRule="atLeast"/>
        </w:trPr>
        <w:tc>
          <w:tcPr>
            <w:tcW w:w="5244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Imię i nazwisko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pl-PL" w:eastAsia="en-US" w:bidi="ar-SA"/>
              </w:rPr>
              <w:t>czytelne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) osoby lub osób składających wniosek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oraz podpis</w:t>
            </w:r>
          </w:p>
        </w:tc>
        <w:tc>
          <w:tcPr>
            <w:tcW w:w="538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Miejscowość i data</w:t>
            </w:r>
          </w:p>
        </w:tc>
      </w:tr>
      <w:tr>
        <w:trPr>
          <w:trHeight w:val="549" w:hRule="atLeast"/>
        </w:trPr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8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P O U C Z E N I E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Formularze są dostępne w kancelariach komorniczych, budynkach sądów rejonowych i okręgowych oraz w Internecie pod adresami www.ms.gov.pl, www.komornik.pl oraz na stronach internetowych sądów rejonowych, sądów okręgowych i kancelarii komorniczych.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Wniosek nie musi być złożony na formularzu (art. 796 § 1 zd. 2 k.p.c.).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Wniosek należy złożyć w kancelarii właściwego komornika albo przesłać za pośrednictwem operatora pocztowego (pocztą) do kancelarii tego komornika. Zgodnie z art. 165 § 2 k.p.c. w zw. z art. 13 § 2 k.p.c., nadanie pisma w polskiej placówce pocztowej operatora wyznaczonego w rozumieniu ustawy z dnia 23 listopada 2012r. – Prawo pocztowe lub w placówce pocztowej operatora świadczącego pocztowe usługi powszechne w innym państwie członkowskim Unii Europejskiej jest równoznaczne z wniesieniem go do komornika (datą wniesienia jest data nadania).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Niezachowanie warunków formalnych pisma, które uniemożliwia nadanie mu dalszego biegu, powoduje wezwanie do uzupełnienia braków pisma (art. 130 § 1 k.p.c. w zw. z art. 13 § 2 k.p.c.).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Wniosek składa się do komornika sądowego, który ma prowadzić egzekucję. Właściwość komornika wynika z przepisów Kodeksu postępowania cywilnego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Wierzyciel ma prawo wyboru komornika na obszarze właściwości sądu apelacyjnego. W takim przypadku do wniosku należy dołączyć pisemne oświadczenie o wyborze komornika (art. 10 ust. 3 ustawy z dnia 22 marca 2018r. o komornikach sądowych).</w:t>
      </w:r>
    </w:p>
    <w:p>
      <w:pPr>
        <w:pStyle w:val="ListParagraph"/>
        <w:numPr>
          <w:ilvl w:val="0"/>
          <w:numId w:val="8"/>
        </w:numPr>
        <w:spacing w:before="0" w:after="120"/>
        <w:ind w:hanging="283" w:left="-28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Zgodnie z art. 10 ust. 1 ustawy z dnia 22 marca 2018r. o komornikach sądowych, wybór komornika jest wyłączony w sprawach o egzekucję z nieruchomości, wydanie nieruchomości, wprowadzenie w posiadanie nieruchomości, opróżnienie pomieszczeń, w tym lokali mieszkalnych, z osób lub rzeczy oraz w sprawach, w których przepisy o egzekucji z nieruchomości stosuje się odpowiednio (np. w razie egzekucji z użytkowania wieczystego albo spółdzielczego własnościowego prawa do lokalu mieszkalnego). Do prowadzenia egzekucji w takich sprawach wyłącznie właściwy jest komornik działający przy sądzie rejonowym, w którego okręgu jest położona nieruchomość.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566" w:gutter="0" w:header="0" w:top="709" w:footer="429" w:bottom="9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172022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172022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170" w:hanging="17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70" w:hanging="17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" w:hanging="17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" w:hanging="17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" w:hanging="17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0" w:hanging="17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" w:hanging="17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0" w:hanging="17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" w:hanging="17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54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2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3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72" w:hanging="180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b3b9e"/>
    <w:rPr>
      <w:color w:themeColor="hyperlink"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5c3f93"/>
    <w:rPr/>
  </w:style>
  <w:style w:type="character" w:styleId="StopkaZnak" w:customStyle="1">
    <w:name w:val="Stopka Znak"/>
    <w:basedOn w:val="DefaultParagraphFont"/>
    <w:uiPriority w:val="99"/>
    <w:qFormat/>
    <w:rsid w:val="005c3f9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6078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43ee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c3f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5c3f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07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243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LibreOffice/24.2.0.3$Windows_X86_64 LibreOffice_project/da48488a73ddd66ea24cf16bbc4f7b9c08e9bea1</Application>
  <AppVersion>15.0000</AppVersion>
  <Pages>4</Pages>
  <Words>1195</Words>
  <Characters>7581</Characters>
  <CharactersWithSpaces>8696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2019-01-08T08:00:00Z</dcterms:created>
  <dc:creator>AMikula</dc:creator>
  <dc:description/>
  <dc:language>pl-PL</dc:language>
  <cp:lastModifiedBy/>
  <cp:lastPrinted>2019-01-10T11:18:00Z</cp:lastPrinted>
  <dcterms:modified xsi:type="dcterms:W3CDTF">2026-02-20T13:26:17Z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